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D33B99" w14:textId="77777777" w:rsidR="00454420" w:rsidRDefault="00454420" w:rsidP="00454420">
      <w:pPr>
        <w:widowControl w:val="0"/>
        <w:autoSpaceDE w:val="0"/>
        <w:autoSpaceDN w:val="0"/>
        <w:adjustRightInd w:val="0"/>
        <w:rPr>
          <w:rFonts w:cs="Arial"/>
          <w:b/>
          <w:bCs/>
          <w:color w:val="343434"/>
          <w:sz w:val="28"/>
          <w:szCs w:val="28"/>
          <w:lang w:val="en-US" w:eastAsia="ja-JP"/>
        </w:rPr>
      </w:pPr>
      <w:bookmarkStart w:id="0" w:name="_GoBack"/>
      <w:bookmarkEnd w:id="0"/>
      <w:r w:rsidRPr="00454420">
        <w:rPr>
          <w:rFonts w:cs="Arial"/>
          <w:b/>
          <w:bCs/>
          <w:color w:val="343434"/>
          <w:sz w:val="28"/>
          <w:szCs w:val="28"/>
          <w:lang w:val="en-US" w:eastAsia="ja-JP"/>
        </w:rPr>
        <w:t>A selection of Adrian Ward’s academic papers from the last twenty years, with Abstracts</w:t>
      </w:r>
    </w:p>
    <w:p w14:paraId="15A23FA4" w14:textId="77777777" w:rsidR="00454420" w:rsidRDefault="00454420" w:rsidP="00454420">
      <w:pPr>
        <w:widowControl w:val="0"/>
        <w:autoSpaceDE w:val="0"/>
        <w:autoSpaceDN w:val="0"/>
        <w:adjustRightInd w:val="0"/>
        <w:rPr>
          <w:rFonts w:cs="Arial"/>
          <w:b/>
          <w:bCs/>
          <w:color w:val="343434"/>
          <w:sz w:val="28"/>
          <w:szCs w:val="28"/>
          <w:lang w:val="en-US" w:eastAsia="ja-JP"/>
        </w:rPr>
      </w:pPr>
    </w:p>
    <w:p w14:paraId="0C702F27" w14:textId="77777777" w:rsidR="00454420" w:rsidRDefault="00454420" w:rsidP="00454420">
      <w:pPr>
        <w:widowControl w:val="0"/>
        <w:autoSpaceDE w:val="0"/>
        <w:autoSpaceDN w:val="0"/>
        <w:adjustRightInd w:val="0"/>
        <w:rPr>
          <w:rFonts w:cs="Arial"/>
          <w:b/>
          <w:bCs/>
          <w:color w:val="343434"/>
          <w:sz w:val="28"/>
          <w:szCs w:val="28"/>
          <w:lang w:val="en-US" w:eastAsia="ja-JP"/>
        </w:rPr>
      </w:pPr>
    </w:p>
    <w:p w14:paraId="46CDA3F7" w14:textId="77777777" w:rsidR="00454420" w:rsidRPr="00454420" w:rsidRDefault="00454420" w:rsidP="00454420">
      <w:pPr>
        <w:widowControl w:val="0"/>
        <w:autoSpaceDE w:val="0"/>
        <w:autoSpaceDN w:val="0"/>
        <w:adjustRightInd w:val="0"/>
        <w:rPr>
          <w:rFonts w:cs="Arial"/>
          <w:b/>
          <w:bCs/>
          <w:color w:val="343434"/>
          <w:sz w:val="28"/>
          <w:szCs w:val="28"/>
          <w:lang w:val="en-US" w:eastAsia="ja-JP"/>
        </w:rPr>
      </w:pPr>
    </w:p>
    <w:p w14:paraId="5A18086E" w14:textId="77777777" w:rsidR="00454420" w:rsidRPr="00454420" w:rsidRDefault="00454420" w:rsidP="00454420">
      <w:pPr>
        <w:widowControl w:val="0"/>
        <w:autoSpaceDE w:val="0"/>
        <w:autoSpaceDN w:val="0"/>
        <w:adjustRightInd w:val="0"/>
        <w:rPr>
          <w:rFonts w:cs="Arial"/>
          <w:b/>
          <w:bCs/>
          <w:color w:val="343434"/>
          <w:lang w:val="en-US" w:eastAsia="ja-JP"/>
        </w:rPr>
      </w:pPr>
    </w:p>
    <w:p w14:paraId="67084BA9"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 xml:space="preserve">Beyond the instructional mode: creating a holding environment for learning about the use of self. </w:t>
      </w:r>
      <w:r w:rsidRPr="00454420">
        <w:rPr>
          <w:rFonts w:cs="Arial"/>
          <w:bCs/>
          <w:i/>
          <w:iCs/>
          <w:color w:val="343434"/>
          <w:lang w:val="en-US" w:eastAsia="ja-JP"/>
        </w:rPr>
        <w:t>Journal of Social Work Practice</w:t>
      </w:r>
      <w:r w:rsidRPr="00454420">
        <w:rPr>
          <w:rFonts w:cs="Arial"/>
          <w:bCs/>
          <w:color w:val="343434"/>
          <w:lang w:val="en-US" w:eastAsia="ja-JP"/>
        </w:rPr>
        <w:t>  22 (1) 67-83. (2008)</w:t>
      </w:r>
    </w:p>
    <w:p w14:paraId="444B7B38" w14:textId="77777777" w:rsidR="00454420" w:rsidRPr="00454420" w:rsidRDefault="00454420" w:rsidP="00454420">
      <w:pPr>
        <w:widowControl w:val="0"/>
        <w:autoSpaceDE w:val="0"/>
        <w:autoSpaceDN w:val="0"/>
        <w:adjustRightInd w:val="0"/>
        <w:rPr>
          <w:rFonts w:cs="Arial"/>
          <w:bCs/>
          <w:color w:val="343434"/>
          <w:lang w:val="en-US" w:eastAsia="ja-JP"/>
        </w:rPr>
      </w:pPr>
    </w:p>
    <w:p w14:paraId="1EC2F19B"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b/>
          <w:bCs/>
          <w:color w:val="343434"/>
          <w:lang w:val="en-US" w:eastAsia="ja-JP"/>
        </w:rPr>
        <w:t>Abstract</w:t>
      </w:r>
      <w:r w:rsidRPr="00454420">
        <w:rPr>
          <w:rFonts w:cs="Arial"/>
          <w:color w:val="343434"/>
          <w:lang w:val="en-US" w:eastAsia="ja-JP"/>
        </w:rPr>
        <w:t> </w:t>
      </w:r>
      <w:r>
        <w:rPr>
          <w:rFonts w:cs="Arial"/>
          <w:color w:val="343434"/>
          <w:lang w:val="en-US" w:eastAsia="ja-JP"/>
        </w:rPr>
        <w:t xml:space="preserve">  </w:t>
      </w:r>
      <w:r w:rsidRPr="00454420">
        <w:rPr>
          <w:rFonts w:cs="Arial"/>
          <w:iCs/>
          <w:color w:val="343434"/>
          <w:lang w:val="en-US" w:eastAsia="ja-JP"/>
        </w:rPr>
        <w:t xml:space="preserve">This paper provides a narrative account of a sequence of teaching and learning about the 'use of self' in professional practice, set in the context of a Masters </w:t>
      </w:r>
      <w:proofErr w:type="spellStart"/>
      <w:r w:rsidRPr="00454420">
        <w:rPr>
          <w:rFonts w:cs="Arial"/>
          <w:iCs/>
          <w:color w:val="343434"/>
          <w:lang w:val="en-US" w:eastAsia="ja-JP"/>
        </w:rPr>
        <w:t>programme</w:t>
      </w:r>
      <w:proofErr w:type="spellEnd"/>
      <w:r w:rsidRPr="00454420">
        <w:rPr>
          <w:rFonts w:cs="Arial"/>
          <w:iCs/>
          <w:color w:val="343434"/>
          <w:lang w:val="en-US" w:eastAsia="ja-JP"/>
        </w:rPr>
        <w:t xml:space="preserve"> of qualifying social work training. The processes of teaching and learning are described and </w:t>
      </w:r>
      <w:proofErr w:type="spellStart"/>
      <w:r w:rsidRPr="00454420">
        <w:rPr>
          <w:rFonts w:cs="Arial"/>
          <w:iCs/>
          <w:color w:val="343434"/>
          <w:lang w:val="en-US" w:eastAsia="ja-JP"/>
        </w:rPr>
        <w:t>analysed</w:t>
      </w:r>
      <w:proofErr w:type="spellEnd"/>
      <w:r w:rsidRPr="00454420">
        <w:rPr>
          <w:rFonts w:cs="Arial"/>
          <w:iCs/>
          <w:color w:val="343434"/>
          <w:lang w:val="en-US" w:eastAsia="ja-JP"/>
        </w:rPr>
        <w:t>, focusing in particular on students' evaluation of the process, and on the ways in which the facilitators aimed to engage directly with the challenges and difficulties raised. These difficulties included anxieties about personal disclosure and discomfort with the challenge of working on personal material in an educational setting. A number of themes are identified from the ensuing evaluation and discussion, including firstly the need to manage anxiety and disclosure in the group; secondly the need to work with 'process' and to engage directly with student evaluation and thereby to identify 'turning points' in the learning; thirdly questions about ambiguities in the role of teaching staff in this work; and finally the value of the concept of the 'holding environment' as a facilitative structure for learning</w:t>
      </w:r>
      <w:r w:rsidRPr="00454420">
        <w:rPr>
          <w:rFonts w:cs="Arial"/>
          <w:i/>
          <w:iCs/>
          <w:color w:val="343434"/>
          <w:lang w:val="en-US" w:eastAsia="ja-JP"/>
        </w:rPr>
        <w:t>.</w:t>
      </w:r>
    </w:p>
    <w:p w14:paraId="37BB8E1E" w14:textId="77777777" w:rsidR="00454420" w:rsidRPr="00454420" w:rsidRDefault="00454420" w:rsidP="00454420">
      <w:pPr>
        <w:widowControl w:val="0"/>
        <w:autoSpaceDE w:val="0"/>
        <w:autoSpaceDN w:val="0"/>
        <w:adjustRightInd w:val="0"/>
        <w:rPr>
          <w:rFonts w:cs="Arial"/>
          <w:i/>
          <w:iCs/>
          <w:color w:val="343434"/>
          <w:lang w:val="en-US" w:eastAsia="ja-JP"/>
        </w:rPr>
      </w:pPr>
    </w:p>
    <w:p w14:paraId="3147E154" w14:textId="77777777" w:rsidR="00454420" w:rsidRPr="00454420" w:rsidRDefault="00454420" w:rsidP="00454420">
      <w:pPr>
        <w:widowControl w:val="0"/>
        <w:autoSpaceDE w:val="0"/>
        <w:autoSpaceDN w:val="0"/>
        <w:adjustRightInd w:val="0"/>
        <w:rPr>
          <w:rFonts w:cs="Arial"/>
          <w:iCs/>
          <w:color w:val="343434"/>
          <w:lang w:val="en-US" w:eastAsia="ja-JP"/>
        </w:rPr>
      </w:pPr>
    </w:p>
    <w:p w14:paraId="2D9C117C"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57577DD7" w14:textId="77777777" w:rsidR="00454420" w:rsidRP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Real-time Communication in Residential Child Care </w:t>
      </w:r>
      <w:r w:rsidRPr="00454420">
        <w:rPr>
          <w:rFonts w:cs="Arial"/>
          <w:bCs/>
          <w:i/>
          <w:iCs/>
          <w:color w:val="343434"/>
          <w:lang w:val="en-US" w:eastAsia="ja-JP"/>
        </w:rPr>
        <w:t>Relational Child and Youth Care Practice Vol. 20 No.4, 5-11 (</w:t>
      </w:r>
      <w:r w:rsidRPr="00454420">
        <w:rPr>
          <w:rFonts w:cs="Arial"/>
          <w:bCs/>
          <w:color w:val="343434"/>
          <w:lang w:val="en-US" w:eastAsia="ja-JP"/>
        </w:rPr>
        <w:t>2007)</w:t>
      </w:r>
    </w:p>
    <w:p w14:paraId="528378FF" w14:textId="77777777" w:rsidR="00454420" w:rsidRPr="00454420" w:rsidRDefault="00454420" w:rsidP="00454420">
      <w:pPr>
        <w:widowControl w:val="0"/>
        <w:autoSpaceDE w:val="0"/>
        <w:autoSpaceDN w:val="0"/>
        <w:adjustRightInd w:val="0"/>
        <w:rPr>
          <w:rFonts w:cs="Arial"/>
          <w:b/>
          <w:bCs/>
          <w:color w:val="343434"/>
          <w:lang w:val="en-US" w:eastAsia="ja-JP"/>
        </w:rPr>
      </w:pPr>
    </w:p>
    <w:p w14:paraId="18C5AAF3" w14:textId="77777777" w:rsidR="00454420" w:rsidRPr="00454420" w:rsidRDefault="00454420" w:rsidP="00454420">
      <w:pPr>
        <w:widowControl w:val="0"/>
        <w:autoSpaceDE w:val="0"/>
        <w:autoSpaceDN w:val="0"/>
        <w:adjustRightInd w:val="0"/>
        <w:rPr>
          <w:rFonts w:cs="Arial"/>
          <w:b/>
          <w:iCs/>
          <w:color w:val="343434"/>
          <w:lang w:val="en-US" w:eastAsia="ja-JP"/>
        </w:rPr>
      </w:pPr>
      <w:r w:rsidRPr="00454420">
        <w:rPr>
          <w:rFonts w:cs="Arial"/>
          <w:b/>
          <w:iCs/>
          <w:color w:val="343434"/>
          <w:lang w:val="en-US" w:eastAsia="ja-JP"/>
        </w:rPr>
        <w:t>Abstract</w:t>
      </w:r>
      <w:r>
        <w:rPr>
          <w:rFonts w:cs="Arial"/>
          <w:b/>
          <w:iCs/>
          <w:color w:val="343434"/>
          <w:lang w:val="en-US" w:eastAsia="ja-JP"/>
        </w:rPr>
        <w:t xml:space="preserve">  </w:t>
      </w:r>
      <w:r w:rsidRPr="00454420">
        <w:rPr>
          <w:rFonts w:cs="Arial"/>
          <w:iCs/>
          <w:color w:val="343434"/>
          <w:lang w:val="en-US" w:eastAsia="ja-JP"/>
        </w:rPr>
        <w:t>This paper draws upon a substantial vignette of a piece of direct practice, in which a residential worker tries to establish communication with a boy who is experiencing distress and anxiety. The paper argues that the real challenge in residential care is to establish communication in ‘real time’, i.e. in the midst of current and active difficulties in children’s lives, with a powerful ‘here and now’ quality rather than ‘there and then’.  This Canadian Journal is not easy to access in the UK, but a fuller version of this paper appears in the book ‘Direct Work. Social Work with Children and Young People in Care’ (see Book chapters page). </w:t>
      </w:r>
    </w:p>
    <w:p w14:paraId="723BFDB9" w14:textId="77777777" w:rsidR="00454420" w:rsidRPr="00454420" w:rsidRDefault="00454420" w:rsidP="00454420">
      <w:pPr>
        <w:widowControl w:val="0"/>
        <w:autoSpaceDE w:val="0"/>
        <w:autoSpaceDN w:val="0"/>
        <w:adjustRightInd w:val="0"/>
        <w:rPr>
          <w:rFonts w:cs="Arial"/>
          <w:iCs/>
          <w:color w:val="343434"/>
          <w:lang w:val="en-US" w:eastAsia="ja-JP"/>
        </w:rPr>
      </w:pPr>
    </w:p>
    <w:p w14:paraId="02818D0F" w14:textId="77777777" w:rsidR="00454420" w:rsidRPr="00454420" w:rsidRDefault="00454420" w:rsidP="00454420">
      <w:pPr>
        <w:widowControl w:val="0"/>
        <w:autoSpaceDE w:val="0"/>
        <w:autoSpaceDN w:val="0"/>
        <w:adjustRightInd w:val="0"/>
        <w:rPr>
          <w:rFonts w:cs="Arial"/>
          <w:iCs/>
          <w:color w:val="343434"/>
          <w:lang w:val="en-US" w:eastAsia="ja-JP"/>
        </w:rPr>
      </w:pPr>
    </w:p>
    <w:p w14:paraId="3F0D2CD3" w14:textId="77777777" w:rsid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777D7338" w14:textId="77777777" w:rsidR="00454420" w:rsidRDefault="00454420">
      <w:pPr>
        <w:rPr>
          <w:rFonts w:cs="Arial"/>
          <w:color w:val="343434"/>
          <w:lang w:val="en-US" w:eastAsia="ja-JP"/>
        </w:rPr>
      </w:pPr>
      <w:r>
        <w:rPr>
          <w:rFonts w:cs="Arial"/>
          <w:color w:val="343434"/>
          <w:lang w:val="en-US" w:eastAsia="ja-JP"/>
        </w:rPr>
        <w:br w:type="page"/>
      </w:r>
    </w:p>
    <w:p w14:paraId="22BA10A6" w14:textId="77777777" w:rsidR="00454420" w:rsidRP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lastRenderedPageBreak/>
        <w:t xml:space="preserve">Total immersion: using group care placements to </w:t>
      </w:r>
      <w:proofErr w:type="spellStart"/>
      <w:r w:rsidRPr="00454420">
        <w:rPr>
          <w:rFonts w:cs="Arial"/>
          <w:b/>
          <w:bCs/>
          <w:color w:val="343434"/>
          <w:lang w:val="en-US" w:eastAsia="ja-JP"/>
        </w:rPr>
        <w:t>maximise</w:t>
      </w:r>
      <w:proofErr w:type="spellEnd"/>
      <w:r w:rsidRPr="00454420">
        <w:rPr>
          <w:rFonts w:cs="Arial"/>
          <w:b/>
          <w:bCs/>
          <w:color w:val="343434"/>
          <w:lang w:val="en-US" w:eastAsia="ja-JP"/>
        </w:rPr>
        <w:t xml:space="preserve"> practice learning </w:t>
      </w:r>
      <w:r w:rsidRPr="00454420">
        <w:rPr>
          <w:rFonts w:cs="Arial"/>
          <w:bCs/>
          <w:i/>
          <w:iCs/>
          <w:color w:val="343434"/>
          <w:lang w:val="en-US" w:eastAsia="ja-JP"/>
        </w:rPr>
        <w:t xml:space="preserve">Social Work Education </w:t>
      </w:r>
      <w:r w:rsidRPr="00454420">
        <w:rPr>
          <w:rFonts w:cs="Arial"/>
          <w:bCs/>
          <w:color w:val="343434"/>
          <w:lang w:val="en-US" w:eastAsia="ja-JP"/>
        </w:rPr>
        <w:t>24 (4) 423-438  (2005)</w:t>
      </w:r>
    </w:p>
    <w:p w14:paraId="571D79F5" w14:textId="77777777" w:rsidR="00454420" w:rsidRDefault="00454420" w:rsidP="00454420">
      <w:pPr>
        <w:widowControl w:val="0"/>
        <w:autoSpaceDE w:val="0"/>
        <w:autoSpaceDN w:val="0"/>
        <w:adjustRightInd w:val="0"/>
        <w:rPr>
          <w:rFonts w:cs="Arial"/>
          <w:b/>
          <w:bCs/>
          <w:color w:val="343434"/>
          <w:lang w:val="en-US" w:eastAsia="ja-JP"/>
        </w:rPr>
      </w:pPr>
    </w:p>
    <w:p w14:paraId="20DC9B0D"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b/>
          <w:bCs/>
          <w:color w:val="343434"/>
          <w:lang w:val="en-US" w:eastAsia="ja-JP"/>
        </w:rPr>
        <w:t>Abstract</w:t>
      </w:r>
      <w:r w:rsidRPr="00454420">
        <w:rPr>
          <w:rFonts w:cs="Arial"/>
          <w:color w:val="343434"/>
          <w:lang w:val="en-US" w:eastAsia="ja-JP"/>
        </w:rPr>
        <w:t xml:space="preserve"> </w:t>
      </w:r>
      <w:r>
        <w:rPr>
          <w:rFonts w:cs="Arial"/>
          <w:color w:val="343434"/>
          <w:lang w:val="en-US" w:eastAsia="ja-JP"/>
        </w:rPr>
        <w:t xml:space="preserve">  </w:t>
      </w:r>
      <w:r w:rsidRPr="00454420">
        <w:rPr>
          <w:rFonts w:cs="Arial"/>
          <w:iCs/>
          <w:color w:val="343434"/>
          <w:lang w:val="en-US" w:eastAsia="ja-JP"/>
        </w:rPr>
        <w:t xml:space="preserve">This paper presents findings from a survey of students' views on the experience of undertaking assessed placements in group care settings as part of their qualifying social work training. Respondents are positive and enthusiastic about the available learning opportunities in these settings, especially in terms of the possibilities for close involvement with service users and for learning about 'real social work'. They </w:t>
      </w:r>
      <w:proofErr w:type="spellStart"/>
      <w:r w:rsidRPr="00454420">
        <w:rPr>
          <w:rFonts w:cs="Arial"/>
          <w:iCs/>
          <w:color w:val="343434"/>
          <w:lang w:val="en-US" w:eastAsia="ja-JP"/>
        </w:rPr>
        <w:t>emphasise</w:t>
      </w:r>
      <w:proofErr w:type="spellEnd"/>
      <w:r w:rsidRPr="00454420">
        <w:rPr>
          <w:rFonts w:cs="Arial"/>
          <w:iCs/>
          <w:color w:val="343434"/>
          <w:lang w:val="en-US" w:eastAsia="ja-JP"/>
        </w:rPr>
        <w:t xml:space="preserve"> the value of support from both on-site supervisors and off-site practice teachers, and reflect on the demands which such placements make in terms of students' personal resourcefulness in ambiguous role sets. The paper also offers advice for students, tutors and practice teachers on a range of issues involved in the planning of placements in group care settings, including comments on anti-oppressive practice and on the use of reflective journals by students.</w:t>
      </w:r>
    </w:p>
    <w:p w14:paraId="4A34FC8B" w14:textId="77777777" w:rsid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6DC92A86" w14:textId="77777777" w:rsidR="00454420" w:rsidRDefault="00454420" w:rsidP="00454420">
      <w:pPr>
        <w:widowControl w:val="0"/>
        <w:autoSpaceDE w:val="0"/>
        <w:autoSpaceDN w:val="0"/>
        <w:adjustRightInd w:val="0"/>
        <w:rPr>
          <w:rFonts w:cs="Arial"/>
          <w:color w:val="343434"/>
          <w:lang w:val="en-US" w:eastAsia="ja-JP"/>
        </w:rPr>
      </w:pPr>
    </w:p>
    <w:p w14:paraId="59714233" w14:textId="77777777" w:rsidR="00454420" w:rsidRPr="00454420" w:rsidRDefault="00454420" w:rsidP="00454420">
      <w:pPr>
        <w:widowControl w:val="0"/>
        <w:autoSpaceDE w:val="0"/>
        <w:autoSpaceDN w:val="0"/>
        <w:adjustRightInd w:val="0"/>
        <w:rPr>
          <w:rFonts w:cs="Arial"/>
          <w:color w:val="343434"/>
          <w:lang w:val="en-US" w:eastAsia="ja-JP"/>
        </w:rPr>
      </w:pPr>
    </w:p>
    <w:p w14:paraId="6905918A"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Towards a theory of the everyday: the ordinary and the special in daily living in residential care. </w:t>
      </w:r>
      <w:r w:rsidRPr="00454420">
        <w:rPr>
          <w:rFonts w:cs="Arial"/>
          <w:bCs/>
          <w:i/>
          <w:iCs/>
          <w:color w:val="343434"/>
          <w:lang w:val="en-US" w:eastAsia="ja-JP"/>
        </w:rPr>
        <w:t>Child and Youth Care Forum</w:t>
      </w:r>
      <w:r w:rsidRPr="00454420">
        <w:rPr>
          <w:rFonts w:cs="Arial"/>
          <w:bCs/>
          <w:color w:val="343434"/>
          <w:lang w:val="en-US" w:eastAsia="ja-JP"/>
        </w:rPr>
        <w:t xml:space="preserve"> 33 (3) 209-225 (2004)</w:t>
      </w:r>
    </w:p>
    <w:p w14:paraId="15AD545F" w14:textId="77777777" w:rsidR="00454420" w:rsidRPr="00454420" w:rsidRDefault="00454420" w:rsidP="00454420">
      <w:pPr>
        <w:widowControl w:val="0"/>
        <w:autoSpaceDE w:val="0"/>
        <w:autoSpaceDN w:val="0"/>
        <w:adjustRightInd w:val="0"/>
        <w:rPr>
          <w:rFonts w:cs="Arial"/>
          <w:bCs/>
          <w:color w:val="343434"/>
          <w:lang w:val="en-US" w:eastAsia="ja-JP"/>
        </w:rPr>
      </w:pPr>
    </w:p>
    <w:p w14:paraId="358A6FF1"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 xml:space="preserve">This paper begins with a debate about the relative place of ‘ordinary’ and ‘special’ approaches to everyday living with young people in residential care and treatment. It argues for a considered approach to this distinction between the ordinary and the special, based on assessments of children’s needs and stages of development, and on the purpose of their residential placement. From this beginning it enters into a broader proposal about the need for a comprehensive ‘theory of the everyday’ in residential work. The argument focuses on the need for an underpinning framework for the planning and analysis of daily group care practice with young people. Finally it explores how different assumptions and theoretical frameworks may operate in support of a </w:t>
      </w:r>
      <w:proofErr w:type="spellStart"/>
      <w:r w:rsidRPr="00454420">
        <w:rPr>
          <w:rFonts w:cs="Arial"/>
          <w:iCs/>
          <w:color w:val="343434"/>
          <w:lang w:val="en-US" w:eastAsia="ja-JP"/>
        </w:rPr>
        <w:t>programme</w:t>
      </w:r>
      <w:proofErr w:type="spellEnd"/>
      <w:r w:rsidRPr="00454420">
        <w:rPr>
          <w:rFonts w:cs="Arial"/>
          <w:iCs/>
          <w:color w:val="343434"/>
          <w:lang w:val="en-US" w:eastAsia="ja-JP"/>
        </w:rPr>
        <w:t xml:space="preserve"> for everyday practice which is differentiated according to the needs of the children and the task of the </w:t>
      </w:r>
      <w:proofErr w:type="spellStart"/>
      <w:r w:rsidRPr="00454420">
        <w:rPr>
          <w:rFonts w:cs="Arial"/>
          <w:iCs/>
          <w:color w:val="343434"/>
          <w:lang w:val="en-US" w:eastAsia="ja-JP"/>
        </w:rPr>
        <w:t>organisation</w:t>
      </w:r>
      <w:proofErr w:type="spellEnd"/>
      <w:r w:rsidRPr="00454420">
        <w:rPr>
          <w:rFonts w:cs="Arial"/>
          <w:iCs/>
          <w:color w:val="343434"/>
          <w:lang w:val="en-US" w:eastAsia="ja-JP"/>
        </w:rPr>
        <w:t>. </w:t>
      </w:r>
    </w:p>
    <w:p w14:paraId="1AF54991" w14:textId="77777777" w:rsidR="00454420" w:rsidRDefault="00454420" w:rsidP="00454420">
      <w:pPr>
        <w:widowControl w:val="0"/>
        <w:autoSpaceDE w:val="0"/>
        <w:autoSpaceDN w:val="0"/>
        <w:adjustRightInd w:val="0"/>
        <w:rPr>
          <w:rFonts w:cs="Arial"/>
          <w:iCs/>
          <w:color w:val="343434"/>
          <w:lang w:val="en-US" w:eastAsia="ja-JP"/>
        </w:rPr>
      </w:pPr>
    </w:p>
    <w:p w14:paraId="4F14116C" w14:textId="77777777" w:rsidR="00454420" w:rsidRPr="00454420" w:rsidRDefault="00454420" w:rsidP="00454420">
      <w:pPr>
        <w:widowControl w:val="0"/>
        <w:autoSpaceDE w:val="0"/>
        <w:autoSpaceDN w:val="0"/>
        <w:adjustRightInd w:val="0"/>
        <w:rPr>
          <w:rFonts w:cs="Arial"/>
          <w:color w:val="343434"/>
          <w:lang w:val="en-US" w:eastAsia="ja-JP"/>
        </w:rPr>
      </w:pPr>
    </w:p>
    <w:p w14:paraId="4FED3C97"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5B3A5D52"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 xml:space="preserve">Opportunity led work: </w:t>
      </w:r>
      <w:proofErr w:type="spellStart"/>
      <w:r w:rsidRPr="00454420">
        <w:rPr>
          <w:rFonts w:cs="Arial"/>
          <w:b/>
          <w:bCs/>
          <w:color w:val="343434"/>
          <w:lang w:val="en-US" w:eastAsia="ja-JP"/>
        </w:rPr>
        <w:t>maximising</w:t>
      </w:r>
      <w:proofErr w:type="spellEnd"/>
      <w:r w:rsidRPr="00454420">
        <w:rPr>
          <w:rFonts w:cs="Arial"/>
          <w:b/>
          <w:bCs/>
          <w:color w:val="343434"/>
          <w:lang w:val="en-US" w:eastAsia="ja-JP"/>
        </w:rPr>
        <w:t xml:space="preserve"> the possibilities for therapeutic communication in everyday interactions. </w:t>
      </w:r>
      <w:r w:rsidRPr="00454420">
        <w:rPr>
          <w:rFonts w:cs="Arial"/>
          <w:bCs/>
          <w:i/>
          <w:iCs/>
          <w:color w:val="343434"/>
          <w:lang w:val="en-US" w:eastAsia="ja-JP"/>
        </w:rPr>
        <w:t>Therapeutic Communities</w:t>
      </w:r>
      <w:r w:rsidRPr="00454420">
        <w:rPr>
          <w:rFonts w:cs="Arial"/>
          <w:bCs/>
          <w:color w:val="343434"/>
          <w:lang w:val="en-US" w:eastAsia="ja-JP"/>
        </w:rPr>
        <w:t>  23 (2) 111-124 (2002)   </w:t>
      </w:r>
      <w:hyperlink r:id="rId5" w:history="1">
        <w:r w:rsidRPr="00454420">
          <w:rPr>
            <w:rFonts w:cs="Arial"/>
            <w:b/>
            <w:bCs/>
            <w:color w:val="0000FF"/>
            <w:lang w:val="en-US" w:eastAsia="ja-JP"/>
          </w:rPr>
          <w:t>Opportunity Led Work TCs Paper</w:t>
        </w:r>
      </w:hyperlink>
    </w:p>
    <w:p w14:paraId="691B0547" w14:textId="77777777" w:rsidR="00454420" w:rsidRDefault="00454420" w:rsidP="00454420">
      <w:pPr>
        <w:widowControl w:val="0"/>
        <w:autoSpaceDE w:val="0"/>
        <w:autoSpaceDN w:val="0"/>
        <w:adjustRightInd w:val="0"/>
        <w:rPr>
          <w:rFonts w:cs="Arial"/>
          <w:b/>
          <w:bCs/>
          <w:color w:val="343434"/>
          <w:lang w:val="en-US" w:eastAsia="ja-JP"/>
        </w:rPr>
      </w:pPr>
    </w:p>
    <w:p w14:paraId="4CA6639D"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This paper introduces the concept of ‘opportunity led work’, which is a framework for thinking about the everyday opportunities for communication and support which arise in therapeutic community work. The framework focuses on the processes of assessment, decision-making, action and closure which are involved in handling even the briefest interactions, and it is designed to highlight the ways in which the handling of such interactions can be harnessed to the overall purpose of the unit. The model is outlined, using vignettes based upon TC practice with young people, and some thoughts are offered on the implications of this approach for practice and staff development in child care and other settings. </w:t>
      </w:r>
    </w:p>
    <w:p w14:paraId="26484A50" w14:textId="77777777" w:rsidR="00454420" w:rsidRDefault="00454420" w:rsidP="00454420">
      <w:pPr>
        <w:widowControl w:val="0"/>
        <w:autoSpaceDE w:val="0"/>
        <w:autoSpaceDN w:val="0"/>
        <w:adjustRightInd w:val="0"/>
        <w:rPr>
          <w:rFonts w:cs="Arial"/>
          <w:iCs/>
          <w:color w:val="343434"/>
          <w:lang w:val="en-US" w:eastAsia="ja-JP"/>
        </w:rPr>
      </w:pPr>
    </w:p>
    <w:p w14:paraId="3E57B575" w14:textId="77777777" w:rsidR="00454420" w:rsidRPr="00454420" w:rsidRDefault="00454420" w:rsidP="00454420">
      <w:pPr>
        <w:widowControl w:val="0"/>
        <w:autoSpaceDE w:val="0"/>
        <w:autoSpaceDN w:val="0"/>
        <w:adjustRightInd w:val="0"/>
        <w:rPr>
          <w:rFonts w:cs="Arial"/>
          <w:color w:val="343434"/>
          <w:lang w:val="en-US" w:eastAsia="ja-JP"/>
        </w:rPr>
      </w:pPr>
    </w:p>
    <w:p w14:paraId="45D90D8A"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32E93E47" w14:textId="77777777" w:rsidR="00454420" w:rsidRP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The ‘Matching Principle': Designing for Process in Professional Education. </w:t>
      </w:r>
      <w:r w:rsidRPr="00454420">
        <w:rPr>
          <w:rFonts w:cs="Arial"/>
          <w:bCs/>
          <w:i/>
          <w:iCs/>
          <w:color w:val="343434"/>
          <w:lang w:val="en-US" w:eastAsia="ja-JP"/>
        </w:rPr>
        <w:t>Social Work Education</w:t>
      </w:r>
      <w:r w:rsidRPr="00454420">
        <w:rPr>
          <w:rFonts w:cs="Arial"/>
          <w:bCs/>
          <w:color w:val="343434"/>
          <w:lang w:val="en-US" w:eastAsia="ja-JP"/>
        </w:rPr>
        <w:t>  18 (2) 161 - 170  (1999)</w:t>
      </w:r>
    </w:p>
    <w:p w14:paraId="3906E6C9" w14:textId="77777777" w:rsidR="00454420" w:rsidRPr="00454420" w:rsidRDefault="00454420" w:rsidP="00454420">
      <w:pPr>
        <w:widowControl w:val="0"/>
        <w:autoSpaceDE w:val="0"/>
        <w:autoSpaceDN w:val="0"/>
        <w:adjustRightInd w:val="0"/>
        <w:rPr>
          <w:rFonts w:cs="Arial"/>
          <w:b/>
          <w:bCs/>
          <w:color w:val="343434"/>
          <w:lang w:val="en-US" w:eastAsia="ja-JP"/>
        </w:rPr>
      </w:pPr>
    </w:p>
    <w:p w14:paraId="58D08150"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 xml:space="preserve">This paper proposes the 'matching principle': the principle that in training for professional practice, the mode of training should be designed to reflect or 'match' key aspects of the relevant mode of practice. A rationale for this principle is offered, in terms of the view that students may learn as much from their experience of the process and context of learning as they do from its manifest content. A substantial case example is offered, describing the work of a Master's </w:t>
      </w:r>
      <w:proofErr w:type="spellStart"/>
      <w:r w:rsidRPr="00454420">
        <w:rPr>
          <w:rFonts w:cs="Arial"/>
          <w:iCs/>
          <w:color w:val="343434"/>
          <w:lang w:val="en-US" w:eastAsia="ja-JP"/>
        </w:rPr>
        <w:t>programme</w:t>
      </w:r>
      <w:proofErr w:type="spellEnd"/>
      <w:r w:rsidRPr="00454420">
        <w:rPr>
          <w:rFonts w:cs="Arial"/>
          <w:iCs/>
          <w:color w:val="343434"/>
          <w:lang w:val="en-US" w:eastAsia="ja-JP"/>
        </w:rPr>
        <w:t xml:space="preserve"> in therapeutic child care, and indicating how the matching principle has been applied in the design and delivery of this </w:t>
      </w:r>
      <w:proofErr w:type="spellStart"/>
      <w:r w:rsidRPr="00454420">
        <w:rPr>
          <w:rFonts w:cs="Arial"/>
          <w:iCs/>
          <w:color w:val="343434"/>
          <w:lang w:val="en-US" w:eastAsia="ja-JP"/>
        </w:rPr>
        <w:t>programme</w:t>
      </w:r>
      <w:proofErr w:type="spellEnd"/>
      <w:r w:rsidRPr="00454420">
        <w:rPr>
          <w:rFonts w:cs="Arial"/>
          <w:iCs/>
          <w:color w:val="343434"/>
          <w:lang w:val="en-US" w:eastAsia="ja-JP"/>
        </w:rPr>
        <w:t>. There is finally a short debate on some of the risks and difficulties inherent in aiming to achieve a good match between training and practice</w:t>
      </w:r>
    </w:p>
    <w:p w14:paraId="51FDC12A" w14:textId="77777777" w:rsidR="00454420" w:rsidRDefault="00454420" w:rsidP="00454420">
      <w:pPr>
        <w:widowControl w:val="0"/>
        <w:autoSpaceDE w:val="0"/>
        <w:autoSpaceDN w:val="0"/>
        <w:adjustRightInd w:val="0"/>
        <w:rPr>
          <w:rFonts w:cs="Arial"/>
          <w:iCs/>
          <w:color w:val="343434"/>
          <w:lang w:val="en-US" w:eastAsia="ja-JP"/>
        </w:rPr>
      </w:pPr>
    </w:p>
    <w:p w14:paraId="0EE83FB4" w14:textId="77777777" w:rsidR="00454420" w:rsidRPr="00454420" w:rsidRDefault="00454420" w:rsidP="00454420">
      <w:pPr>
        <w:widowControl w:val="0"/>
        <w:autoSpaceDE w:val="0"/>
        <w:autoSpaceDN w:val="0"/>
        <w:adjustRightInd w:val="0"/>
        <w:rPr>
          <w:rFonts w:cs="Arial"/>
          <w:color w:val="343434"/>
          <w:lang w:val="en-US" w:eastAsia="ja-JP"/>
        </w:rPr>
      </w:pPr>
    </w:p>
    <w:p w14:paraId="7EE08EE4"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07D6AB01"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Patterns of psychological presence and absence in training for residential child care. </w:t>
      </w:r>
      <w:r w:rsidRPr="00454420">
        <w:rPr>
          <w:rFonts w:cs="Arial"/>
          <w:bCs/>
          <w:i/>
          <w:iCs/>
          <w:color w:val="343434"/>
          <w:lang w:val="en-US" w:eastAsia="ja-JP"/>
        </w:rPr>
        <w:t>Social Work Education</w:t>
      </w:r>
      <w:r w:rsidRPr="00454420">
        <w:rPr>
          <w:rFonts w:cs="Arial"/>
          <w:bCs/>
          <w:color w:val="343434"/>
          <w:lang w:val="en-US" w:eastAsia="ja-JP"/>
        </w:rPr>
        <w:t>  17 (3) 375 - 387  (1998)</w:t>
      </w:r>
    </w:p>
    <w:p w14:paraId="516B07AD" w14:textId="77777777" w:rsidR="00454420" w:rsidRPr="00454420" w:rsidRDefault="00454420" w:rsidP="00454420">
      <w:pPr>
        <w:widowControl w:val="0"/>
        <w:autoSpaceDE w:val="0"/>
        <w:autoSpaceDN w:val="0"/>
        <w:adjustRightInd w:val="0"/>
        <w:rPr>
          <w:rFonts w:cs="Arial"/>
          <w:b/>
          <w:bCs/>
          <w:color w:val="343434"/>
          <w:lang w:val="en-US" w:eastAsia="ja-JP"/>
        </w:rPr>
      </w:pPr>
    </w:p>
    <w:p w14:paraId="1212482D"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b/>
          <w:bCs/>
          <w:color w:val="343434"/>
          <w:lang w:val="en-US" w:eastAsia="ja-JP"/>
        </w:rPr>
        <w:t>Opening paragraph</w:t>
      </w:r>
      <w:r w:rsidRPr="00454420">
        <w:rPr>
          <w:rFonts w:cs="Arial"/>
          <w:color w:val="343434"/>
          <w:lang w:val="en-US" w:eastAsia="ja-JP"/>
        </w:rPr>
        <w:t xml:space="preserve">:  </w:t>
      </w:r>
      <w:r w:rsidRPr="00454420">
        <w:rPr>
          <w:rFonts w:cs="Arial"/>
          <w:iCs/>
          <w:color w:val="343434"/>
          <w:lang w:val="en-US" w:eastAsia="ja-JP"/>
        </w:rPr>
        <w:t xml:space="preserve">How can we help people to 'engage' fully with their professional training, and can we thereby help them to work with people--both service users and colleagues--more effectively in their own practice? These questions have challenged me ever since I moved from direct practice into working in the educational setting. The first lesson I learned was that there is an enormous difference between on the one hand giving the occasional seminar as a visiting speaker and on the other hand being responsible for an ongoing </w:t>
      </w:r>
      <w:proofErr w:type="spellStart"/>
      <w:r w:rsidRPr="00454420">
        <w:rPr>
          <w:rFonts w:cs="Arial"/>
          <w:iCs/>
          <w:color w:val="343434"/>
          <w:lang w:val="en-US" w:eastAsia="ja-JP"/>
        </w:rPr>
        <w:t>programme</w:t>
      </w:r>
      <w:proofErr w:type="spellEnd"/>
      <w:r w:rsidRPr="00454420">
        <w:rPr>
          <w:rFonts w:cs="Arial"/>
          <w:iCs/>
          <w:color w:val="343434"/>
          <w:lang w:val="en-US" w:eastAsia="ja-JP"/>
        </w:rPr>
        <w:t xml:space="preserve"> of training with a group of students over a period of two or more years. In the former situation, it was always enjoyable to talk about practice and related issues with groups who were themselves invariably keen to meet an external visiting 'expert' (probably often as welcome relief from the humdrum of the rest of the </w:t>
      </w:r>
      <w:proofErr w:type="spellStart"/>
      <w:r w:rsidRPr="00454420">
        <w:rPr>
          <w:rFonts w:cs="Arial"/>
          <w:iCs/>
          <w:color w:val="343434"/>
          <w:lang w:val="en-US" w:eastAsia="ja-JP"/>
        </w:rPr>
        <w:t>programme</w:t>
      </w:r>
      <w:proofErr w:type="spellEnd"/>
      <w:r w:rsidRPr="00454420">
        <w:rPr>
          <w:rFonts w:cs="Arial"/>
          <w:iCs/>
          <w:color w:val="343434"/>
          <w:lang w:val="en-US" w:eastAsia="ja-JP"/>
        </w:rPr>
        <w:t>); in the latter situation I had to reconcile myself with being the humdrum, or at least with being perceived as 'the norm'. This meant grappling with the fact that some students did not attend classes very regularly, and that one or two hardly ever appeared at all; while even those who did appear in the classroom sometimes appeared to be present in name or body only, and a few of them seemed to make little real contact either with the subject or their fellow students. Some seemed to be faintly bored with the whole proceedings, while others appeared preoccupied elsewhere, either with placement issues or with domestic crises. I wondered how I might engage with these apparently reluctant students. How could I establish and sustain contact with them, and enable them to feel in full contact with each other, so that our work together could be productive? I was particularly concerned by the implications which their apparent 'absence' might have for the quality of their subsequent practice</w:t>
      </w:r>
    </w:p>
    <w:p w14:paraId="62678F08"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b/>
          <w:bCs/>
          <w:color w:val="343434"/>
          <w:lang w:val="en-US" w:eastAsia="ja-JP"/>
        </w:rPr>
        <w:t xml:space="preserve">Learning to meet and meeting to learn. The use of staff-student meetings on a training </w:t>
      </w:r>
      <w:proofErr w:type="spellStart"/>
      <w:r w:rsidRPr="00454420">
        <w:rPr>
          <w:rFonts w:cs="Arial"/>
          <w:b/>
          <w:bCs/>
          <w:color w:val="343434"/>
          <w:lang w:val="en-US" w:eastAsia="ja-JP"/>
        </w:rPr>
        <w:t>programme</w:t>
      </w:r>
      <w:proofErr w:type="spellEnd"/>
      <w:r w:rsidRPr="00454420">
        <w:rPr>
          <w:rFonts w:cs="Arial"/>
          <w:b/>
          <w:bCs/>
          <w:color w:val="343434"/>
          <w:lang w:val="en-US" w:eastAsia="ja-JP"/>
        </w:rPr>
        <w:t xml:space="preserve">. </w:t>
      </w:r>
      <w:r w:rsidRPr="00454420">
        <w:rPr>
          <w:rFonts w:cs="Arial"/>
          <w:bCs/>
          <w:i/>
          <w:iCs/>
          <w:color w:val="343434"/>
          <w:lang w:val="en-US" w:eastAsia="ja-JP"/>
        </w:rPr>
        <w:t>Therapeutic Communities</w:t>
      </w:r>
      <w:r w:rsidRPr="00454420">
        <w:rPr>
          <w:rFonts w:cs="Arial"/>
          <w:bCs/>
          <w:color w:val="343434"/>
          <w:lang w:val="en-US" w:eastAsia="ja-JP"/>
        </w:rPr>
        <w:t xml:space="preserve"> 17 (4) 265-78  (1996)</w:t>
      </w:r>
    </w:p>
    <w:p w14:paraId="39E717F3" w14:textId="77777777" w:rsidR="00454420" w:rsidRPr="00454420" w:rsidRDefault="00454420" w:rsidP="00454420">
      <w:pPr>
        <w:widowControl w:val="0"/>
        <w:autoSpaceDE w:val="0"/>
        <w:autoSpaceDN w:val="0"/>
        <w:adjustRightInd w:val="0"/>
        <w:rPr>
          <w:rFonts w:cs="Arial"/>
          <w:bCs/>
          <w:color w:val="343434"/>
          <w:lang w:val="en-US" w:eastAsia="ja-JP"/>
        </w:rPr>
      </w:pPr>
    </w:p>
    <w:p w14:paraId="718E8A49"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 xml:space="preserve">Abstract: </w:t>
      </w:r>
      <w:r>
        <w:rPr>
          <w:rFonts w:cs="Arial"/>
          <w:b/>
          <w:bCs/>
          <w:color w:val="343434"/>
          <w:lang w:val="en-US" w:eastAsia="ja-JP"/>
        </w:rPr>
        <w:t xml:space="preserve">  </w:t>
      </w:r>
      <w:r w:rsidRPr="00454420">
        <w:rPr>
          <w:rFonts w:cs="Arial"/>
          <w:iCs/>
          <w:color w:val="343434"/>
          <w:lang w:val="en-US" w:eastAsia="ja-JP"/>
        </w:rPr>
        <w:t xml:space="preserve">This paper discusses the tensions which can arise in training </w:t>
      </w:r>
      <w:proofErr w:type="spellStart"/>
      <w:r w:rsidRPr="00454420">
        <w:rPr>
          <w:rFonts w:cs="Arial"/>
          <w:iCs/>
          <w:color w:val="343434"/>
          <w:lang w:val="en-US" w:eastAsia="ja-JP"/>
        </w:rPr>
        <w:t>programmes</w:t>
      </w:r>
      <w:proofErr w:type="spellEnd"/>
      <w:r w:rsidRPr="00454420">
        <w:rPr>
          <w:rFonts w:cs="Arial"/>
          <w:iCs/>
          <w:color w:val="343434"/>
          <w:lang w:val="en-US" w:eastAsia="ja-JP"/>
        </w:rPr>
        <w:t xml:space="preserve"> between participants’ personal, professional and academic concerns. A model is described in which these tensions are addressed through the use of opening and closing meetings on a part-time MA in Therapeutic Child Care. The respective primary tasks and other functions of these meetings are discussed, and their format and the arrangements for chairing are described.  The role of the staff of the </w:t>
      </w:r>
      <w:proofErr w:type="spellStart"/>
      <w:r w:rsidRPr="00454420">
        <w:rPr>
          <w:rFonts w:cs="Arial"/>
          <w:iCs/>
          <w:color w:val="343434"/>
          <w:lang w:val="en-US" w:eastAsia="ja-JP"/>
        </w:rPr>
        <w:t>programme</w:t>
      </w:r>
      <w:proofErr w:type="spellEnd"/>
      <w:r w:rsidRPr="00454420">
        <w:rPr>
          <w:rFonts w:cs="Arial"/>
          <w:iCs/>
          <w:color w:val="343434"/>
          <w:lang w:val="en-US" w:eastAsia="ja-JP"/>
        </w:rPr>
        <w:t xml:space="preserve"> in relation to these meetings is </w:t>
      </w:r>
      <w:proofErr w:type="spellStart"/>
      <w:r w:rsidRPr="00454420">
        <w:rPr>
          <w:rFonts w:cs="Arial"/>
          <w:iCs/>
          <w:color w:val="343434"/>
          <w:lang w:val="en-US" w:eastAsia="ja-JP"/>
        </w:rPr>
        <w:t>analysed</w:t>
      </w:r>
      <w:proofErr w:type="spellEnd"/>
      <w:r w:rsidRPr="00454420">
        <w:rPr>
          <w:rFonts w:cs="Arial"/>
          <w:iCs/>
          <w:color w:val="343434"/>
          <w:lang w:val="en-US" w:eastAsia="ja-JP"/>
        </w:rPr>
        <w:t>, and some typical anxieties which may arise in the meetings are outlined.  The argument of the paper is that it is through the use of such meetings that participants can be helped to learn from experience about the overlaps, and tensions between the personal, the professional and the academic, and that such learning will be of relevance not only for learning about therapeutic community practice, but also for many other professions</w:t>
      </w:r>
    </w:p>
    <w:p w14:paraId="045BF787" w14:textId="77777777" w:rsid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5733A3D3" w14:textId="77777777" w:rsidR="00454420" w:rsidRDefault="00454420" w:rsidP="00454420">
      <w:pPr>
        <w:widowControl w:val="0"/>
        <w:autoSpaceDE w:val="0"/>
        <w:autoSpaceDN w:val="0"/>
        <w:adjustRightInd w:val="0"/>
        <w:rPr>
          <w:rFonts w:cs="Arial"/>
          <w:color w:val="343434"/>
          <w:lang w:val="en-US" w:eastAsia="ja-JP"/>
        </w:rPr>
      </w:pPr>
    </w:p>
    <w:p w14:paraId="7320AED0" w14:textId="77777777" w:rsidR="00454420" w:rsidRPr="00454420" w:rsidRDefault="00454420" w:rsidP="00454420">
      <w:pPr>
        <w:widowControl w:val="0"/>
        <w:autoSpaceDE w:val="0"/>
        <w:autoSpaceDN w:val="0"/>
        <w:adjustRightInd w:val="0"/>
        <w:rPr>
          <w:rFonts w:cs="Arial"/>
          <w:color w:val="343434"/>
          <w:lang w:val="en-US" w:eastAsia="ja-JP"/>
        </w:rPr>
      </w:pPr>
    </w:p>
    <w:p w14:paraId="47DF679C"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"Never mind the theory, feel the guidelines".  Theory practice and official guidance in residential child care: the case of the therapeutic communities.  </w:t>
      </w:r>
      <w:r w:rsidRPr="00454420">
        <w:rPr>
          <w:rFonts w:cs="Arial"/>
          <w:bCs/>
          <w:i/>
          <w:iCs/>
          <w:color w:val="343434"/>
          <w:lang w:val="en-US" w:eastAsia="ja-JP"/>
        </w:rPr>
        <w:t>Therapeutic Communities</w:t>
      </w:r>
      <w:r w:rsidRPr="00454420">
        <w:rPr>
          <w:rFonts w:cs="Arial"/>
          <w:bCs/>
          <w:color w:val="343434"/>
          <w:lang w:val="en-US" w:eastAsia="ja-JP"/>
        </w:rPr>
        <w:t xml:space="preserve"> 17 (1) 19 - 29.</w:t>
      </w:r>
    </w:p>
    <w:p w14:paraId="6096A3DC" w14:textId="77777777" w:rsidR="00454420" w:rsidRPr="00454420" w:rsidRDefault="00454420" w:rsidP="00454420">
      <w:pPr>
        <w:widowControl w:val="0"/>
        <w:autoSpaceDE w:val="0"/>
        <w:autoSpaceDN w:val="0"/>
        <w:adjustRightInd w:val="0"/>
        <w:rPr>
          <w:rFonts w:cs="Arial"/>
          <w:b/>
          <w:bCs/>
          <w:color w:val="343434"/>
          <w:lang w:val="en-US" w:eastAsia="ja-JP"/>
        </w:rPr>
      </w:pPr>
    </w:p>
    <w:p w14:paraId="0E19271C"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 xml:space="preserve">Abstract: </w:t>
      </w:r>
      <w:r>
        <w:rPr>
          <w:rFonts w:cs="Arial"/>
          <w:b/>
          <w:bCs/>
          <w:color w:val="343434"/>
          <w:lang w:val="en-US" w:eastAsia="ja-JP"/>
        </w:rPr>
        <w:t xml:space="preserve">  </w:t>
      </w:r>
      <w:r w:rsidRPr="00454420">
        <w:rPr>
          <w:rFonts w:cs="Arial"/>
          <w:iCs/>
          <w:color w:val="343434"/>
          <w:lang w:val="en-US" w:eastAsia="ja-JP"/>
        </w:rPr>
        <w:t>This paper describes and explores some of the tensions which exist between theory, regulation and practice in the residential child care setting, with special reference to the therapeutic communities in this field in the UK. Some distinctive features of practice in these communities are firstly outlined, and some aspects of the theory base upon which they draw (especially psychodynamic theory) are then discussed, including the question as to whether or not there is an ‘absence of theory’.  A recent trend towards an extensive regulatory framework for practice in this field is identified, and debated in relation to the supposed absence of theory. Finally it is argued that it is staff training which holds the key to the better integration of theory, practice and regulation, and that the promotion of good practice should therefore start with a commitment to staff training and development.</w:t>
      </w:r>
    </w:p>
    <w:p w14:paraId="75FE1E22" w14:textId="77777777" w:rsid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30D6EAB3" w14:textId="77777777" w:rsidR="00454420" w:rsidRDefault="00454420" w:rsidP="00454420">
      <w:pPr>
        <w:widowControl w:val="0"/>
        <w:autoSpaceDE w:val="0"/>
        <w:autoSpaceDN w:val="0"/>
        <w:adjustRightInd w:val="0"/>
        <w:rPr>
          <w:rFonts w:cs="Arial"/>
          <w:color w:val="343434"/>
          <w:lang w:val="en-US" w:eastAsia="ja-JP"/>
        </w:rPr>
      </w:pPr>
    </w:p>
    <w:p w14:paraId="3FF6A1AE" w14:textId="77777777" w:rsidR="00454420" w:rsidRPr="00454420" w:rsidRDefault="00454420" w:rsidP="00454420">
      <w:pPr>
        <w:widowControl w:val="0"/>
        <w:autoSpaceDE w:val="0"/>
        <w:autoSpaceDN w:val="0"/>
        <w:adjustRightInd w:val="0"/>
        <w:rPr>
          <w:rFonts w:cs="Arial"/>
          <w:color w:val="343434"/>
          <w:lang w:val="en-US" w:eastAsia="ja-JP"/>
        </w:rPr>
      </w:pPr>
    </w:p>
    <w:p w14:paraId="73A56314"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Opportunity led work: 2. The Framework. </w:t>
      </w:r>
      <w:r w:rsidRPr="00454420">
        <w:rPr>
          <w:rFonts w:cs="Arial"/>
          <w:bCs/>
          <w:i/>
          <w:iCs/>
          <w:color w:val="343434"/>
          <w:lang w:val="en-US" w:eastAsia="ja-JP"/>
        </w:rPr>
        <w:t>Social Work Education</w:t>
      </w:r>
      <w:r w:rsidRPr="00454420">
        <w:rPr>
          <w:rFonts w:cs="Arial"/>
          <w:bCs/>
          <w:color w:val="343434"/>
          <w:lang w:val="en-US" w:eastAsia="ja-JP"/>
        </w:rPr>
        <w:t>  15 (3) 40-59.</w:t>
      </w:r>
    </w:p>
    <w:p w14:paraId="2AD6F26C" w14:textId="77777777" w:rsidR="00454420" w:rsidRPr="00454420" w:rsidRDefault="00454420" w:rsidP="00454420">
      <w:pPr>
        <w:widowControl w:val="0"/>
        <w:autoSpaceDE w:val="0"/>
        <w:autoSpaceDN w:val="0"/>
        <w:adjustRightInd w:val="0"/>
        <w:rPr>
          <w:rFonts w:cs="Arial"/>
          <w:bCs/>
          <w:color w:val="343434"/>
          <w:lang w:val="en-US" w:eastAsia="ja-JP"/>
        </w:rPr>
      </w:pPr>
    </w:p>
    <w:p w14:paraId="131EF254"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 xml:space="preserve">This paper presents a framework for the analysis of opportunity led work, which is intended to enable students and practitioners to think their way through situations and opportunities which arise in daily practice, especially in the group care setting, and to help them to review and learn from their handling of such situations. The framework is based upon a process model, focusing in turn on the stages of Observation and Assessment, Decision-Making, Action — which sub-divides into short term / </w:t>
      </w:r>
      <w:proofErr w:type="spellStart"/>
      <w:r w:rsidRPr="00454420">
        <w:rPr>
          <w:rFonts w:cs="Arial"/>
          <w:iCs/>
          <w:color w:val="343434"/>
          <w:lang w:val="en-US" w:eastAsia="ja-JP"/>
        </w:rPr>
        <w:t>behavioural</w:t>
      </w:r>
      <w:proofErr w:type="spellEnd"/>
      <w:r w:rsidRPr="00454420">
        <w:rPr>
          <w:rFonts w:cs="Arial"/>
          <w:iCs/>
          <w:color w:val="343434"/>
          <w:lang w:val="en-US" w:eastAsia="ja-JP"/>
        </w:rPr>
        <w:t xml:space="preserve"> interventions and longer term/therapeutic interventions — and Closure. There is an emphasis in the illustrative material on the use of this concept in residential child care</w:t>
      </w:r>
      <w:r w:rsidRPr="00454420">
        <w:rPr>
          <w:rFonts w:cs="Arial"/>
          <w:color w:val="343434"/>
          <w:lang w:val="en-US" w:eastAsia="ja-JP"/>
        </w:rPr>
        <w:t>.</w:t>
      </w:r>
    </w:p>
    <w:p w14:paraId="254332DF" w14:textId="77777777" w:rsidR="00454420" w:rsidRDefault="00454420" w:rsidP="00454420">
      <w:pPr>
        <w:widowControl w:val="0"/>
        <w:autoSpaceDE w:val="0"/>
        <w:autoSpaceDN w:val="0"/>
        <w:adjustRightInd w:val="0"/>
        <w:rPr>
          <w:rFonts w:cs="Arial"/>
          <w:color w:val="343434"/>
          <w:lang w:val="en-US" w:eastAsia="ja-JP"/>
        </w:rPr>
      </w:pPr>
    </w:p>
    <w:p w14:paraId="1E034AE3" w14:textId="77777777" w:rsidR="00454420" w:rsidRPr="00454420" w:rsidRDefault="00454420" w:rsidP="00454420">
      <w:pPr>
        <w:widowControl w:val="0"/>
        <w:autoSpaceDE w:val="0"/>
        <w:autoSpaceDN w:val="0"/>
        <w:adjustRightInd w:val="0"/>
        <w:rPr>
          <w:rFonts w:cs="Arial"/>
          <w:color w:val="343434"/>
          <w:lang w:val="en-US" w:eastAsia="ja-JP"/>
        </w:rPr>
      </w:pPr>
    </w:p>
    <w:p w14:paraId="7F5CB0F1"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21FCFC86" w14:textId="77777777" w:rsid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 xml:space="preserve">Opportunity led work: 1. Introducing the Concept </w:t>
      </w:r>
      <w:r w:rsidRPr="00454420">
        <w:rPr>
          <w:rFonts w:cs="Arial"/>
          <w:b/>
          <w:bCs/>
          <w:i/>
          <w:iCs/>
          <w:color w:val="343434"/>
          <w:lang w:val="en-US" w:eastAsia="ja-JP"/>
        </w:rPr>
        <w:t>Social Work Education</w:t>
      </w:r>
      <w:r w:rsidRPr="00454420">
        <w:rPr>
          <w:rFonts w:cs="Arial"/>
          <w:b/>
          <w:bCs/>
          <w:color w:val="343434"/>
          <w:lang w:val="en-US" w:eastAsia="ja-JP"/>
        </w:rPr>
        <w:t>  14 (4) 89-105  (1995)</w:t>
      </w:r>
    </w:p>
    <w:p w14:paraId="0170549C" w14:textId="77777777" w:rsidR="00454420" w:rsidRPr="00454420" w:rsidRDefault="00454420" w:rsidP="00454420">
      <w:pPr>
        <w:widowControl w:val="0"/>
        <w:autoSpaceDE w:val="0"/>
        <w:autoSpaceDN w:val="0"/>
        <w:adjustRightInd w:val="0"/>
        <w:rPr>
          <w:rFonts w:cs="Arial"/>
          <w:b/>
          <w:bCs/>
          <w:color w:val="343434"/>
          <w:lang w:val="en-US" w:eastAsia="ja-JP"/>
        </w:rPr>
      </w:pPr>
    </w:p>
    <w:p w14:paraId="4D6A936D"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This paper introduces the concept of ‘opportunity led work’: the creative use of challenges and opportunities for communication which arise in everyday practice, especially in group care.  The paper sets the concept in context by defining and illustrating the area of work in question, by reviewing the relevant literature, by briefly outlining the framework and then locating it alongside other perspectives on group care practice. There is also some consideration of the practical implications of applying this framework  both in practice and in the training context. There is an emphasis in the illustrative material on the use of this concept in residential child care.</w:t>
      </w:r>
    </w:p>
    <w:p w14:paraId="0CA6A3A1" w14:textId="77777777" w:rsidR="00454420" w:rsidRDefault="00454420" w:rsidP="00454420">
      <w:pPr>
        <w:widowControl w:val="0"/>
        <w:autoSpaceDE w:val="0"/>
        <w:autoSpaceDN w:val="0"/>
        <w:adjustRightInd w:val="0"/>
        <w:rPr>
          <w:rFonts w:cs="Arial"/>
          <w:iCs/>
          <w:color w:val="343434"/>
          <w:lang w:val="en-US" w:eastAsia="ja-JP"/>
        </w:rPr>
      </w:pPr>
    </w:p>
    <w:p w14:paraId="6FE00D0F" w14:textId="77777777" w:rsidR="00454420" w:rsidRPr="00454420" w:rsidRDefault="00454420" w:rsidP="00454420">
      <w:pPr>
        <w:widowControl w:val="0"/>
        <w:autoSpaceDE w:val="0"/>
        <w:autoSpaceDN w:val="0"/>
        <w:adjustRightInd w:val="0"/>
        <w:rPr>
          <w:rFonts w:cs="Arial"/>
          <w:color w:val="343434"/>
          <w:lang w:val="en-US" w:eastAsia="ja-JP"/>
        </w:rPr>
      </w:pPr>
    </w:p>
    <w:p w14:paraId="0161F3C9"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25D218E6"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The 'matching principle': exploring connections between practice and training in therapeutic child care. Part 1: Therapeutic child care and the holding environment. </w:t>
      </w:r>
      <w:r w:rsidRPr="00454420">
        <w:rPr>
          <w:rFonts w:cs="Arial"/>
          <w:bCs/>
          <w:i/>
          <w:iCs/>
          <w:color w:val="343434"/>
          <w:lang w:val="en-US" w:eastAsia="ja-JP"/>
        </w:rPr>
        <w:t>Journal of Social Work Practice</w:t>
      </w:r>
      <w:r w:rsidRPr="00454420">
        <w:rPr>
          <w:rFonts w:cs="Arial"/>
          <w:bCs/>
          <w:color w:val="343434"/>
          <w:lang w:val="en-US" w:eastAsia="ja-JP"/>
        </w:rPr>
        <w:t>  9 (2) 177-188.</w:t>
      </w:r>
    </w:p>
    <w:p w14:paraId="0811EFD9" w14:textId="77777777" w:rsidR="00454420" w:rsidRPr="00454420" w:rsidRDefault="00454420" w:rsidP="00454420">
      <w:pPr>
        <w:widowControl w:val="0"/>
        <w:autoSpaceDE w:val="0"/>
        <w:autoSpaceDN w:val="0"/>
        <w:adjustRightInd w:val="0"/>
        <w:rPr>
          <w:rFonts w:cs="Arial"/>
          <w:bCs/>
          <w:color w:val="343434"/>
          <w:lang w:val="en-US" w:eastAsia="ja-JP"/>
        </w:rPr>
      </w:pPr>
    </w:p>
    <w:p w14:paraId="332B10F7"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 xml:space="preserve">These two papers outline the ‘matching principle’, which is proposed as a framework for thinking about the connections between practice and training. There is a particular focus on training for therapeutic child care, which is defined as the therapeutic care and treatment of children in group care (residential and day care) settings. This first paper outlines the field of therapeutic child care, drawing on an analysis of the distinctive features of group care settings in general and of therapeutic practice in these settings in particular. The concept of the ‘holding environment’ is proposed as the central element in a theoretical framework for practice in these settings, and some examples of the application of this concept in practice are offered, highlighting especially some aspects of practice in family </w:t>
      </w:r>
      <w:proofErr w:type="spellStart"/>
      <w:r w:rsidRPr="00454420">
        <w:rPr>
          <w:rFonts w:cs="Arial"/>
          <w:iCs/>
          <w:color w:val="343434"/>
          <w:lang w:val="en-US" w:eastAsia="ja-JP"/>
        </w:rPr>
        <w:t>centres</w:t>
      </w:r>
      <w:proofErr w:type="spellEnd"/>
      <w:r w:rsidRPr="00454420">
        <w:rPr>
          <w:rFonts w:cs="Arial"/>
          <w:iCs/>
          <w:color w:val="343434"/>
          <w:lang w:val="en-US" w:eastAsia="ja-JP"/>
        </w:rPr>
        <w:t xml:space="preserve"> and in the therapeutic communities for children and adolescents. </w:t>
      </w:r>
    </w:p>
    <w:p w14:paraId="1636AD9C" w14:textId="77777777" w:rsidR="00454420" w:rsidRDefault="00454420" w:rsidP="00454420">
      <w:pPr>
        <w:widowControl w:val="0"/>
        <w:autoSpaceDE w:val="0"/>
        <w:autoSpaceDN w:val="0"/>
        <w:adjustRightInd w:val="0"/>
        <w:rPr>
          <w:rFonts w:cs="Arial"/>
          <w:iCs/>
          <w:color w:val="343434"/>
          <w:lang w:val="en-US" w:eastAsia="ja-JP"/>
        </w:rPr>
      </w:pPr>
    </w:p>
    <w:p w14:paraId="4AAEFBA5" w14:textId="77777777" w:rsidR="00454420" w:rsidRPr="00454420" w:rsidRDefault="00454420" w:rsidP="00454420">
      <w:pPr>
        <w:widowControl w:val="0"/>
        <w:autoSpaceDE w:val="0"/>
        <w:autoSpaceDN w:val="0"/>
        <w:adjustRightInd w:val="0"/>
        <w:rPr>
          <w:rFonts w:cs="Arial"/>
          <w:color w:val="343434"/>
          <w:lang w:val="en-US" w:eastAsia="ja-JP"/>
        </w:rPr>
      </w:pPr>
    </w:p>
    <w:p w14:paraId="35F8D374"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25D4D784"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The 'matching principle': exploring connections between practice and training in therapeutic child care. Part 2: The matching principle - concept and application. </w:t>
      </w:r>
      <w:r w:rsidRPr="00454420">
        <w:rPr>
          <w:rFonts w:cs="Arial"/>
          <w:bCs/>
          <w:i/>
          <w:iCs/>
          <w:color w:val="343434"/>
          <w:lang w:val="en-US" w:eastAsia="ja-JP"/>
        </w:rPr>
        <w:t>Journal of Social Work Practice</w:t>
      </w:r>
      <w:r w:rsidRPr="00454420">
        <w:rPr>
          <w:rFonts w:cs="Arial"/>
          <w:bCs/>
          <w:color w:val="343434"/>
          <w:lang w:val="en-US" w:eastAsia="ja-JP"/>
        </w:rPr>
        <w:t>  9 (2) 189-200.</w:t>
      </w:r>
    </w:p>
    <w:p w14:paraId="715CBCA4" w14:textId="77777777" w:rsidR="00454420" w:rsidRPr="00454420" w:rsidRDefault="00454420" w:rsidP="00454420">
      <w:pPr>
        <w:widowControl w:val="0"/>
        <w:autoSpaceDE w:val="0"/>
        <w:autoSpaceDN w:val="0"/>
        <w:adjustRightInd w:val="0"/>
        <w:rPr>
          <w:rFonts w:cs="Arial"/>
          <w:bCs/>
          <w:color w:val="343434"/>
          <w:lang w:val="en-US" w:eastAsia="ja-JP"/>
        </w:rPr>
      </w:pPr>
    </w:p>
    <w:p w14:paraId="0DBDC9AE" w14:textId="77777777" w:rsidR="00454420" w:rsidRPr="00454420" w:rsidRDefault="00454420" w:rsidP="00454420">
      <w:pPr>
        <w:widowControl w:val="0"/>
        <w:autoSpaceDE w:val="0"/>
        <w:autoSpaceDN w:val="0"/>
        <w:adjustRightInd w:val="0"/>
        <w:rPr>
          <w:rFonts w:cs="Arial"/>
          <w:b/>
          <w:bCs/>
          <w:color w:val="343434"/>
          <w:lang w:val="en-US" w:eastAsia="ja-JP"/>
        </w:rPr>
      </w:pPr>
      <w:r>
        <w:rPr>
          <w:rFonts w:cs="Arial"/>
          <w:b/>
          <w:bCs/>
          <w:color w:val="343434"/>
          <w:lang w:val="en-US" w:eastAsia="ja-JP"/>
        </w:rPr>
        <w:t xml:space="preserve">Abstract:   </w:t>
      </w:r>
      <w:r w:rsidRPr="00454420">
        <w:rPr>
          <w:rFonts w:cs="Arial"/>
          <w:iCs/>
          <w:color w:val="343434"/>
          <w:lang w:val="en-US" w:eastAsia="ja-JP"/>
        </w:rPr>
        <w:t xml:space="preserve">This, the second of two linked papers, outlines the concept of the ‘matching principle’, which is defined as ‘the proposal that in training for professional practice the mode of training should match the mode of practice’. The principle is offered as a guiding principle in the design of training </w:t>
      </w:r>
      <w:proofErr w:type="spellStart"/>
      <w:r w:rsidRPr="00454420">
        <w:rPr>
          <w:rFonts w:cs="Arial"/>
          <w:iCs/>
          <w:color w:val="343434"/>
          <w:lang w:val="en-US" w:eastAsia="ja-JP"/>
        </w:rPr>
        <w:t>programmes</w:t>
      </w:r>
      <w:proofErr w:type="spellEnd"/>
      <w:r w:rsidRPr="00454420">
        <w:rPr>
          <w:rFonts w:cs="Arial"/>
          <w:iCs/>
          <w:color w:val="343434"/>
          <w:lang w:val="en-US" w:eastAsia="ja-JP"/>
        </w:rPr>
        <w:t xml:space="preserve">, and especially in planning for the ‘process’ element in training; the established concept of the ‘reflection process’ is offered as a framework by means of which  the operation of the matching principle may be </w:t>
      </w:r>
      <w:proofErr w:type="spellStart"/>
      <w:r w:rsidRPr="00454420">
        <w:rPr>
          <w:rFonts w:cs="Arial"/>
          <w:iCs/>
          <w:color w:val="343434"/>
          <w:lang w:val="en-US" w:eastAsia="ja-JP"/>
        </w:rPr>
        <w:t>analysed</w:t>
      </w:r>
      <w:proofErr w:type="spellEnd"/>
      <w:r w:rsidRPr="00454420">
        <w:rPr>
          <w:rFonts w:cs="Arial"/>
          <w:iCs/>
          <w:color w:val="343434"/>
          <w:lang w:val="en-US" w:eastAsia="ja-JP"/>
        </w:rPr>
        <w:t xml:space="preserve">. The design of one </w:t>
      </w:r>
      <w:proofErr w:type="spellStart"/>
      <w:r w:rsidRPr="00454420">
        <w:rPr>
          <w:rFonts w:cs="Arial"/>
          <w:iCs/>
          <w:color w:val="343434"/>
          <w:lang w:val="en-US" w:eastAsia="ja-JP"/>
        </w:rPr>
        <w:t>programme</w:t>
      </w:r>
      <w:proofErr w:type="spellEnd"/>
      <w:r w:rsidRPr="00454420">
        <w:rPr>
          <w:rFonts w:cs="Arial"/>
          <w:iCs/>
          <w:color w:val="343434"/>
          <w:lang w:val="en-US" w:eastAsia="ja-JP"/>
        </w:rPr>
        <w:t xml:space="preserve"> in particular, the MS in Therapeutic Child Care at the University of Reading, is offered as a case study in the application of the matching principle, and examples are given of various elements in this </w:t>
      </w:r>
      <w:proofErr w:type="spellStart"/>
      <w:r w:rsidRPr="00454420">
        <w:rPr>
          <w:rFonts w:cs="Arial"/>
          <w:iCs/>
          <w:color w:val="343434"/>
          <w:lang w:val="en-US" w:eastAsia="ja-JP"/>
        </w:rPr>
        <w:t>programme</w:t>
      </w:r>
      <w:proofErr w:type="spellEnd"/>
      <w:r w:rsidRPr="00454420">
        <w:rPr>
          <w:rFonts w:cs="Arial"/>
          <w:iCs/>
          <w:color w:val="343434"/>
          <w:lang w:val="en-US" w:eastAsia="ja-JP"/>
        </w:rPr>
        <w:t xml:space="preserve"> which are intended to ‘match’ various elements of therapeutic child care practice. Finally there is some discussion of the wider applicability of the matching principle.  </w:t>
      </w:r>
    </w:p>
    <w:p w14:paraId="44EED37B" w14:textId="77777777" w:rsidR="00454420" w:rsidRDefault="00454420" w:rsidP="00454420">
      <w:pPr>
        <w:widowControl w:val="0"/>
        <w:autoSpaceDE w:val="0"/>
        <w:autoSpaceDN w:val="0"/>
        <w:adjustRightInd w:val="0"/>
        <w:rPr>
          <w:rFonts w:cs="Arial"/>
          <w:iCs/>
          <w:color w:val="343434"/>
          <w:lang w:val="en-US" w:eastAsia="ja-JP"/>
        </w:rPr>
      </w:pPr>
    </w:p>
    <w:p w14:paraId="1933E32A" w14:textId="77777777" w:rsidR="00454420" w:rsidRPr="00454420" w:rsidRDefault="00454420" w:rsidP="00454420">
      <w:pPr>
        <w:widowControl w:val="0"/>
        <w:autoSpaceDE w:val="0"/>
        <w:autoSpaceDN w:val="0"/>
        <w:adjustRightInd w:val="0"/>
        <w:rPr>
          <w:rFonts w:cs="Arial"/>
          <w:color w:val="343434"/>
          <w:lang w:val="en-US" w:eastAsia="ja-JP"/>
        </w:rPr>
      </w:pPr>
    </w:p>
    <w:p w14:paraId="769E6EB0"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37094B20"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Establishing community meetings in a children's home. </w:t>
      </w:r>
      <w:r w:rsidRPr="00454420">
        <w:rPr>
          <w:rFonts w:cs="Arial"/>
          <w:bCs/>
          <w:i/>
          <w:iCs/>
          <w:color w:val="343434"/>
          <w:lang w:val="en-US" w:eastAsia="ja-JP"/>
        </w:rPr>
        <w:t>Groupwork</w:t>
      </w:r>
      <w:r w:rsidRPr="00454420">
        <w:rPr>
          <w:rFonts w:cs="Arial"/>
          <w:bCs/>
          <w:color w:val="343434"/>
          <w:lang w:val="en-US" w:eastAsia="ja-JP"/>
        </w:rPr>
        <w:t xml:space="preserve"> 8 (1) 67-78.</w:t>
      </w:r>
    </w:p>
    <w:p w14:paraId="7A93E7C2" w14:textId="77777777" w:rsidR="00454420" w:rsidRPr="00454420" w:rsidRDefault="00454420" w:rsidP="00454420">
      <w:pPr>
        <w:widowControl w:val="0"/>
        <w:autoSpaceDE w:val="0"/>
        <w:autoSpaceDN w:val="0"/>
        <w:adjustRightInd w:val="0"/>
        <w:rPr>
          <w:rFonts w:cs="Arial"/>
          <w:bCs/>
          <w:color w:val="343434"/>
          <w:lang w:val="en-US" w:eastAsia="ja-JP"/>
        </w:rPr>
      </w:pPr>
    </w:p>
    <w:p w14:paraId="172EF537"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 xml:space="preserve">This paper presents an extended case-example of the establishment and development of a system of community meetings in a children’s home. The origins of these meetings is traced, and details are presented both of the practical arrangements and on their theoretical justifications, as well as on their implications in practice.  A line of development is traced through an expanding </w:t>
      </w:r>
      <w:proofErr w:type="spellStart"/>
      <w:r w:rsidRPr="00454420">
        <w:rPr>
          <w:rFonts w:cs="Arial"/>
          <w:iCs/>
          <w:color w:val="343434"/>
          <w:lang w:val="en-US" w:eastAsia="ja-JP"/>
        </w:rPr>
        <w:t>programme</w:t>
      </w:r>
      <w:proofErr w:type="spellEnd"/>
      <w:r w:rsidRPr="00454420">
        <w:rPr>
          <w:rFonts w:cs="Arial"/>
          <w:iCs/>
          <w:color w:val="343434"/>
          <w:lang w:val="en-US" w:eastAsia="ja-JP"/>
        </w:rPr>
        <w:t>, from weekly to daily meetings. Connections are drawn between the use of community meetings and the issue of anti-discriminatory practice, and a number of lessons are drawn from the whole experience in the form of guidance for practitioners, in terms of ‘starting small’, being adaptable, being reliable and working as a team.</w:t>
      </w:r>
    </w:p>
    <w:p w14:paraId="7F81FCA5" w14:textId="77777777" w:rsidR="00454420" w:rsidRDefault="00454420" w:rsidP="00454420">
      <w:pPr>
        <w:widowControl w:val="0"/>
        <w:autoSpaceDE w:val="0"/>
        <w:autoSpaceDN w:val="0"/>
        <w:adjustRightInd w:val="0"/>
        <w:rPr>
          <w:rFonts w:cs="Arial"/>
          <w:iCs/>
          <w:color w:val="343434"/>
          <w:lang w:val="en-US" w:eastAsia="ja-JP"/>
        </w:rPr>
      </w:pPr>
    </w:p>
    <w:p w14:paraId="38C63297" w14:textId="77777777" w:rsidR="00454420" w:rsidRPr="00454420" w:rsidRDefault="00454420" w:rsidP="00454420">
      <w:pPr>
        <w:widowControl w:val="0"/>
        <w:autoSpaceDE w:val="0"/>
        <w:autoSpaceDN w:val="0"/>
        <w:adjustRightInd w:val="0"/>
        <w:rPr>
          <w:rFonts w:cs="Arial"/>
          <w:color w:val="343434"/>
          <w:lang w:val="en-US" w:eastAsia="ja-JP"/>
        </w:rPr>
      </w:pPr>
    </w:p>
    <w:p w14:paraId="268F8D05"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6C21BB33"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The impact of parental suicide on children and staff in residential care. A case study in the function of containment. </w:t>
      </w:r>
      <w:r w:rsidRPr="00454420">
        <w:rPr>
          <w:rFonts w:cs="Arial"/>
          <w:bCs/>
          <w:i/>
          <w:iCs/>
          <w:color w:val="343434"/>
          <w:lang w:val="en-US" w:eastAsia="ja-JP"/>
        </w:rPr>
        <w:t>Journal of Social Work Practice</w:t>
      </w:r>
      <w:r w:rsidRPr="00454420">
        <w:rPr>
          <w:rFonts w:cs="Arial"/>
          <w:bCs/>
          <w:color w:val="343434"/>
          <w:lang w:val="en-US" w:eastAsia="ja-JP"/>
        </w:rPr>
        <w:t xml:space="preserve"> 9 (1) 23-32.</w:t>
      </w:r>
    </w:p>
    <w:p w14:paraId="6517912E" w14:textId="77777777" w:rsidR="00454420" w:rsidRPr="00454420" w:rsidRDefault="00454420" w:rsidP="00454420">
      <w:pPr>
        <w:widowControl w:val="0"/>
        <w:autoSpaceDE w:val="0"/>
        <w:autoSpaceDN w:val="0"/>
        <w:adjustRightInd w:val="0"/>
        <w:rPr>
          <w:rFonts w:cs="Arial"/>
          <w:bCs/>
          <w:color w:val="343434"/>
          <w:lang w:val="en-US" w:eastAsia="ja-JP"/>
        </w:rPr>
      </w:pPr>
    </w:p>
    <w:p w14:paraId="54298314" w14:textId="77777777" w:rsidR="00454420" w:rsidRPr="00454420" w:rsidRDefault="00454420" w:rsidP="00454420">
      <w:pPr>
        <w:widowControl w:val="0"/>
        <w:autoSpaceDE w:val="0"/>
        <w:autoSpaceDN w:val="0"/>
        <w:adjustRightInd w:val="0"/>
        <w:rPr>
          <w:rFonts w:cs="Arial"/>
          <w:b/>
          <w:bCs/>
          <w:color w:val="343434"/>
          <w:lang w:val="en-US" w:eastAsia="ja-JP"/>
        </w:rPr>
      </w:pPr>
      <w:r>
        <w:rPr>
          <w:rFonts w:cs="Arial"/>
          <w:b/>
          <w:bCs/>
          <w:color w:val="343434"/>
          <w:lang w:val="en-US" w:eastAsia="ja-JP"/>
        </w:rPr>
        <w:t>Abstract</w:t>
      </w:r>
      <w:r w:rsidRPr="00454420">
        <w:rPr>
          <w:rFonts w:cs="Arial"/>
          <w:b/>
          <w:bCs/>
          <w:color w:val="343434"/>
          <w:lang w:val="en-US" w:eastAsia="ja-JP"/>
        </w:rPr>
        <w:t xml:space="preserve"> </w:t>
      </w:r>
      <w:r>
        <w:rPr>
          <w:rFonts w:cs="Arial"/>
          <w:b/>
          <w:bCs/>
          <w:color w:val="343434"/>
          <w:lang w:val="en-US" w:eastAsia="ja-JP"/>
        </w:rPr>
        <w:t xml:space="preserve">   </w:t>
      </w:r>
      <w:r w:rsidRPr="00454420">
        <w:rPr>
          <w:rFonts w:cs="Arial"/>
          <w:iCs/>
          <w:color w:val="343434"/>
          <w:lang w:val="en-US" w:eastAsia="ja-JP"/>
        </w:rPr>
        <w:t>A case study is presented of how a residential child care team handled the impact on a group of staff and children of the suicide of the mother of one of the children. A six-year-old boy with severe emotional disturbance was admitted to residential care after living with his schizophrenic mother in an overpowering symbiotic relationship for his first five years. After the child had been in care for two years, and after his mother has made several earlier self-destructive attempts, she finally committed suicide. The boy’s reaction and subsequent progress are recorded, and the impact of these events on the other children in the home and on the staff working with the children is described. the context of the case study is described in terms of the aims and working methods of therapeutic residential child care, and specifically in terms of the task of containment.</w:t>
      </w:r>
    </w:p>
    <w:p w14:paraId="57966949" w14:textId="77777777" w:rsidR="00454420" w:rsidRDefault="00454420" w:rsidP="00454420">
      <w:pPr>
        <w:widowControl w:val="0"/>
        <w:autoSpaceDE w:val="0"/>
        <w:autoSpaceDN w:val="0"/>
        <w:adjustRightInd w:val="0"/>
        <w:rPr>
          <w:rFonts w:cs="Arial"/>
          <w:iCs/>
          <w:color w:val="343434"/>
          <w:lang w:val="en-US" w:eastAsia="ja-JP"/>
        </w:rPr>
      </w:pPr>
    </w:p>
    <w:p w14:paraId="4051F940" w14:textId="77777777" w:rsidR="00454420" w:rsidRPr="00454420" w:rsidRDefault="00454420" w:rsidP="00454420">
      <w:pPr>
        <w:widowControl w:val="0"/>
        <w:autoSpaceDE w:val="0"/>
        <w:autoSpaceDN w:val="0"/>
        <w:adjustRightInd w:val="0"/>
        <w:rPr>
          <w:rFonts w:cs="Arial"/>
          <w:color w:val="343434"/>
          <w:lang w:val="en-US" w:eastAsia="ja-JP"/>
        </w:rPr>
      </w:pPr>
    </w:p>
    <w:p w14:paraId="23D3DD06"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11D301AE" w14:textId="77777777" w:rsidR="00454420" w:rsidRP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The Large Group: The heart of the system in group care. </w:t>
      </w:r>
      <w:r w:rsidRPr="00454420">
        <w:rPr>
          <w:rFonts w:cs="Arial"/>
          <w:bCs/>
          <w:iCs/>
          <w:color w:val="343434"/>
          <w:lang w:val="en-US" w:eastAsia="ja-JP"/>
        </w:rPr>
        <w:t>Groupwork</w:t>
      </w:r>
      <w:r w:rsidRPr="00454420">
        <w:rPr>
          <w:rFonts w:cs="Arial"/>
          <w:bCs/>
          <w:color w:val="343434"/>
          <w:lang w:val="en-US" w:eastAsia="ja-JP"/>
        </w:rPr>
        <w:t xml:space="preserve"> 6 (1) 1993, 63-77  (1993)</w:t>
      </w:r>
    </w:p>
    <w:p w14:paraId="66F42329" w14:textId="77777777" w:rsidR="00454420" w:rsidRDefault="00454420" w:rsidP="00454420">
      <w:pPr>
        <w:widowControl w:val="0"/>
        <w:autoSpaceDE w:val="0"/>
        <w:autoSpaceDN w:val="0"/>
        <w:adjustRightInd w:val="0"/>
        <w:rPr>
          <w:rFonts w:cs="Arial"/>
          <w:b/>
          <w:bCs/>
          <w:color w:val="343434"/>
          <w:lang w:val="en-US" w:eastAsia="ja-JP"/>
        </w:rPr>
      </w:pPr>
    </w:p>
    <w:p w14:paraId="3EF5C984"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 xml:space="preserve">This paper explores anxieties amongst group care workers about the use of the large group as a forum for discussion and therapy. It is argued that these fears, although common, are self-perpetuating and anti-task, and that they may originate in an attempt to deny the reality of living together in groups. By contrast, working with the large group in the form of a daily community meeting of all staff and users, although difficult to establish and demanding to sustain, can become the central reference-point of daily living and indeed of all therapeutic work in group care settings - ‘the heart of the system’. The aims of this paper are firstly to identify the nature of the difficulty, secondly to </w:t>
      </w:r>
      <w:proofErr w:type="spellStart"/>
      <w:r w:rsidRPr="00454420">
        <w:rPr>
          <w:rFonts w:cs="Arial"/>
          <w:iCs/>
          <w:color w:val="343434"/>
          <w:lang w:val="en-US" w:eastAsia="ja-JP"/>
        </w:rPr>
        <w:t>analyse</w:t>
      </w:r>
      <w:proofErr w:type="spellEnd"/>
      <w:r w:rsidRPr="00454420">
        <w:rPr>
          <w:rFonts w:cs="Arial"/>
          <w:iCs/>
          <w:color w:val="343434"/>
          <w:lang w:val="en-US" w:eastAsia="ja-JP"/>
        </w:rPr>
        <w:t xml:space="preserve"> the practical and therapeutic functions of the community meeting in group care settings, and thirdly to discuss the implications of these findings for the training of group care workers.  The paper argues for establishing  a more optimistic and positive self-fulfilling prophecy, so that workers can create opportunities for the creative  and beneficial use of large groups - and in particular, so that the practice of the community meeting can become more widely established in group care. </w:t>
      </w:r>
    </w:p>
    <w:p w14:paraId="76409CD3" w14:textId="77777777" w:rsidR="00454420" w:rsidRPr="00454420" w:rsidRDefault="00454420" w:rsidP="00454420">
      <w:pPr>
        <w:widowControl w:val="0"/>
        <w:autoSpaceDE w:val="0"/>
        <w:autoSpaceDN w:val="0"/>
        <w:adjustRightInd w:val="0"/>
        <w:rPr>
          <w:rFonts w:cs="Arial"/>
          <w:color w:val="343434"/>
          <w:lang w:val="en-US" w:eastAsia="ja-JP"/>
        </w:rPr>
      </w:pPr>
    </w:p>
    <w:p w14:paraId="27CD3C9F"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079B5DE2" w14:textId="77777777" w:rsidR="00454420" w:rsidRDefault="00454420" w:rsidP="00454420">
      <w:pPr>
        <w:widowControl w:val="0"/>
        <w:autoSpaceDE w:val="0"/>
        <w:autoSpaceDN w:val="0"/>
        <w:adjustRightInd w:val="0"/>
        <w:rPr>
          <w:rFonts w:cs="Arial"/>
          <w:bCs/>
          <w:color w:val="343434"/>
          <w:lang w:val="en-US" w:eastAsia="ja-JP"/>
        </w:rPr>
      </w:pPr>
      <w:r w:rsidRPr="00454420">
        <w:rPr>
          <w:rFonts w:cs="Arial"/>
          <w:b/>
          <w:bCs/>
          <w:color w:val="343434"/>
          <w:lang w:val="en-US" w:eastAsia="ja-JP"/>
        </w:rPr>
        <w:t xml:space="preserve">The role of physical contact in child care.  </w:t>
      </w:r>
      <w:r w:rsidRPr="00454420">
        <w:rPr>
          <w:rFonts w:cs="Arial"/>
          <w:bCs/>
          <w:i/>
          <w:iCs/>
          <w:color w:val="343434"/>
          <w:lang w:val="en-US" w:eastAsia="ja-JP"/>
        </w:rPr>
        <w:t>Children and Society</w:t>
      </w:r>
      <w:r w:rsidRPr="00454420">
        <w:rPr>
          <w:rFonts w:cs="Arial"/>
          <w:bCs/>
          <w:color w:val="343434"/>
          <w:lang w:val="en-US" w:eastAsia="ja-JP"/>
        </w:rPr>
        <w:t xml:space="preserve"> 4 (4)  337 - 351  (1990)</w:t>
      </w:r>
    </w:p>
    <w:p w14:paraId="6E6D4A77" w14:textId="77777777" w:rsidR="00454420" w:rsidRPr="00454420" w:rsidRDefault="00454420" w:rsidP="00454420">
      <w:pPr>
        <w:widowControl w:val="0"/>
        <w:autoSpaceDE w:val="0"/>
        <w:autoSpaceDN w:val="0"/>
        <w:adjustRightInd w:val="0"/>
        <w:rPr>
          <w:rFonts w:cs="Arial"/>
          <w:bCs/>
          <w:color w:val="343434"/>
          <w:lang w:val="en-US" w:eastAsia="ja-JP"/>
        </w:rPr>
      </w:pPr>
    </w:p>
    <w:p w14:paraId="71CEAD3D" w14:textId="77777777" w:rsidR="00454420" w:rsidRPr="00454420" w:rsidRDefault="00454420" w:rsidP="00454420">
      <w:pPr>
        <w:widowControl w:val="0"/>
        <w:autoSpaceDE w:val="0"/>
        <w:autoSpaceDN w:val="0"/>
        <w:adjustRightInd w:val="0"/>
        <w:rPr>
          <w:rFonts w:cs="Arial"/>
          <w:b/>
          <w:bCs/>
          <w:color w:val="343434"/>
          <w:lang w:val="en-US" w:eastAsia="ja-JP"/>
        </w:rPr>
      </w:pPr>
      <w:r w:rsidRPr="00454420">
        <w:rPr>
          <w:rFonts w:cs="Arial"/>
          <w:b/>
          <w:bCs/>
          <w:color w:val="343434"/>
          <w:lang w:val="en-US" w:eastAsia="ja-JP"/>
        </w:rPr>
        <w:t>Abstract</w:t>
      </w:r>
      <w:r>
        <w:rPr>
          <w:rFonts w:cs="Arial"/>
          <w:b/>
          <w:bCs/>
          <w:color w:val="343434"/>
          <w:lang w:val="en-US" w:eastAsia="ja-JP"/>
        </w:rPr>
        <w:t xml:space="preserve">:   </w:t>
      </w:r>
      <w:r w:rsidRPr="00454420">
        <w:rPr>
          <w:rFonts w:cs="Arial"/>
          <w:iCs/>
          <w:color w:val="343434"/>
          <w:lang w:val="en-US" w:eastAsia="ja-JP"/>
        </w:rPr>
        <w:t>There is a risk that recent concern over child sexual abuse will inhibit those working with children from having appropriate physical contact with the children. The author discusses the importance of touch in children’s experience, outlines some dilemmas facing the child care worker, and suggests a number of specific and general ways in which workers may resolve these difficulties, with special reference to residential child care.</w:t>
      </w:r>
    </w:p>
    <w:p w14:paraId="20D900A9" w14:textId="77777777" w:rsidR="00454420" w:rsidRPr="00454420" w:rsidRDefault="00454420" w:rsidP="00454420">
      <w:pPr>
        <w:widowControl w:val="0"/>
        <w:autoSpaceDE w:val="0"/>
        <w:autoSpaceDN w:val="0"/>
        <w:adjustRightInd w:val="0"/>
        <w:rPr>
          <w:rFonts w:cs="Arial"/>
          <w:color w:val="343434"/>
          <w:lang w:val="en-US" w:eastAsia="ja-JP"/>
        </w:rPr>
      </w:pPr>
      <w:r w:rsidRPr="00454420">
        <w:rPr>
          <w:rFonts w:cs="Arial"/>
          <w:color w:val="343434"/>
          <w:lang w:val="en-US" w:eastAsia="ja-JP"/>
        </w:rPr>
        <w:t> </w:t>
      </w:r>
    </w:p>
    <w:p w14:paraId="3FFB24D8" w14:textId="77777777" w:rsidR="005F7705" w:rsidRPr="00454420" w:rsidRDefault="00454420" w:rsidP="00454420">
      <w:pPr>
        <w:rPr>
          <w:rFonts w:cs="Arial"/>
        </w:rPr>
      </w:pPr>
      <w:r w:rsidRPr="00454420">
        <w:rPr>
          <w:rFonts w:cs="Arial"/>
          <w:color w:val="343434"/>
          <w:lang w:val="en-US" w:eastAsia="ja-JP"/>
        </w:rPr>
        <w:t> </w:t>
      </w:r>
    </w:p>
    <w:sectPr w:rsidR="005F7705" w:rsidRPr="00454420" w:rsidSect="00505E6D">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proofState w:spelling="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420"/>
    <w:rsid w:val="00267735"/>
    <w:rsid w:val="00454420"/>
    <w:rsid w:val="00505E6D"/>
    <w:rsid w:val="005F7705"/>
    <w:rsid w:val="009A2975"/>
    <w:rsid w:val="00D0178D"/>
    <w:rsid w:val="00ED3A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2F6609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adrianspress.files.wordpress.com/2014/06/opportunity-led-work-tcs-paper.pdf"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2677</Words>
  <Characters>15262</Characters>
  <Application>Microsoft Macintosh Word</Application>
  <DocSecurity>0</DocSecurity>
  <Lines>127</Lines>
  <Paragraphs>35</Paragraphs>
  <ScaleCrop>false</ScaleCrop>
  <Company/>
  <LinksUpToDate>false</LinksUpToDate>
  <CharactersWithSpaces>17904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Ward</dc:creator>
  <cp:keywords/>
  <dc:description/>
  <cp:lastModifiedBy>Adrian Ward</cp:lastModifiedBy>
  <cp:revision>2</cp:revision>
  <dcterms:created xsi:type="dcterms:W3CDTF">2014-06-01T13:54:00Z</dcterms:created>
  <dcterms:modified xsi:type="dcterms:W3CDTF">2014-06-01T13:54:00Z</dcterms:modified>
</cp:coreProperties>
</file>